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E855" w14:textId="77777777" w:rsidR="00CF1169" w:rsidRPr="00CF1169" w:rsidRDefault="00CF1169" w:rsidP="00CF1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F1169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Закону України «Про регулювання містобудівної діяльності» </w:t>
      </w:r>
      <w:r w:rsidRPr="00CF116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 02.2011р. N 3038-VI;</w:t>
      </w:r>
    </w:p>
    <w:p w14:paraId="35E8FD71" w14:textId="77777777" w:rsidR="00CF1169" w:rsidRPr="00CF1169" w:rsidRDefault="00CF1169" w:rsidP="00CF11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CF1169">
        <w:rPr>
          <w:rFonts w:ascii="Arial" w:eastAsia="Times New Roman" w:hAnsi="Arial" w:cs="Arial"/>
          <w:b/>
          <w:bCs/>
          <w:color w:val="000000"/>
          <w:sz w:val="21"/>
          <w:szCs w:val="21"/>
          <w:lang w:eastAsia="uk-UA"/>
        </w:rPr>
        <w:t>«Правилами користування системами централізованого комунального водопостачання та водовідведення в населених пунктах України»,</w:t>
      </w:r>
      <w:r w:rsidRPr="00CF1169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затверджених наказом Міністерства з питань ЖКГ України від 27.06.2008 р. № 190.</w:t>
      </w:r>
    </w:p>
    <w:p w14:paraId="2EF5886D" w14:textId="77777777" w:rsidR="00545F58" w:rsidRDefault="00545F58"/>
    <w:sectPr w:rsidR="00545F58" w:rsidSect="00CF1169">
      <w:pgSz w:w="11906" w:h="16838"/>
      <w:pgMar w:top="567" w:right="510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45B63"/>
    <w:multiLevelType w:val="multilevel"/>
    <w:tmpl w:val="76E6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69"/>
    <w:rsid w:val="00545F58"/>
    <w:rsid w:val="00C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89FE"/>
  <w15:chartTrackingRefBased/>
  <w15:docId w15:val="{09727AEF-9478-496B-9A5F-36184895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2022-10-19T15:20:00Z</dcterms:created>
  <dcterms:modified xsi:type="dcterms:W3CDTF">2022-10-19T15:21:00Z</dcterms:modified>
</cp:coreProperties>
</file>